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7C46" w14:textId="31A8904E" w:rsidR="001E1C34" w:rsidRPr="001E1C34" w:rsidRDefault="003143C8" w:rsidP="001E1C3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>
        <w:rPr>
          <w:rFonts w:ascii="Arial" w:eastAsia="Calibri" w:hAnsi="Arial" w:cs="Arial"/>
          <w:b/>
          <w:sz w:val="20"/>
          <w:szCs w:val="20"/>
          <w:lang w:eastAsia="de-DE"/>
        </w:rPr>
        <w:t>MID</w:t>
      </w:r>
      <w:r w:rsidR="001E1C34" w:rsidRPr="001E1C34">
        <w:rPr>
          <w:rFonts w:ascii="Arial" w:eastAsia="Calibri" w:hAnsi="Arial" w:cs="Arial"/>
          <w:b/>
          <w:sz w:val="20"/>
          <w:szCs w:val="20"/>
          <w:lang w:eastAsia="de-DE"/>
        </w:rPr>
        <w:t xml:space="preserve"> Meter </w:t>
      </w:r>
      <w:r w:rsidR="00453A3A">
        <w:rPr>
          <w:rFonts w:ascii="Arial" w:eastAsia="Calibri" w:hAnsi="Arial" w:cs="Arial"/>
          <w:b/>
          <w:sz w:val="20"/>
          <w:szCs w:val="20"/>
          <w:lang w:eastAsia="de-DE"/>
        </w:rPr>
        <w:t>Pulsar</w:t>
      </w:r>
    </w:p>
    <w:p w14:paraId="3605980D" w14:textId="3011CB85" w:rsidR="000459CE" w:rsidRDefault="001E1C34" w:rsidP="001E1C3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1E1C34">
        <w:rPr>
          <w:rFonts w:ascii="Arial" w:eastAsia="Calibri" w:hAnsi="Arial" w:cs="Arial"/>
          <w:b/>
          <w:sz w:val="20"/>
          <w:szCs w:val="20"/>
          <w:lang w:eastAsia="de-DE"/>
        </w:rPr>
        <w:t xml:space="preserve">Externer Zähler für </w:t>
      </w:r>
      <w:r w:rsidR="003143C8">
        <w:rPr>
          <w:rFonts w:ascii="Arial" w:eastAsia="Calibri" w:hAnsi="Arial" w:cs="Arial"/>
          <w:b/>
          <w:sz w:val="20"/>
          <w:szCs w:val="20"/>
          <w:lang w:eastAsia="de-DE"/>
        </w:rPr>
        <w:t>Dienstwagenabrechnung</w:t>
      </w:r>
    </w:p>
    <w:p w14:paraId="08FD6231" w14:textId="3CC2E9E4" w:rsidR="00453A3A" w:rsidRDefault="00453A3A" w:rsidP="00453A3A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453A3A">
        <w:rPr>
          <w:rFonts w:ascii="Arial" w:eastAsia="Calibri" w:hAnsi="Arial" w:cs="Arial"/>
          <w:b/>
          <w:sz w:val="20"/>
          <w:szCs w:val="20"/>
          <w:lang w:eastAsia="de-DE"/>
        </w:rPr>
        <w:t>1000004</w:t>
      </w:r>
      <w:r w:rsidR="003143C8">
        <w:rPr>
          <w:rFonts w:ascii="Arial" w:eastAsia="Calibri" w:hAnsi="Arial" w:cs="Arial"/>
          <w:b/>
          <w:sz w:val="20"/>
          <w:szCs w:val="20"/>
          <w:lang w:eastAsia="de-DE"/>
        </w:rPr>
        <w:t>95</w:t>
      </w:r>
    </w:p>
    <w:p w14:paraId="4463BD09" w14:textId="4157D704" w:rsidR="001E1C34" w:rsidRDefault="001E1C34" w:rsidP="001E1C3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</w:p>
    <w:p w14:paraId="3A61DB0F" w14:textId="6575DCFA" w:rsidR="001439B0" w:rsidRDefault="00E93089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>MID Meter</w:t>
      </w:r>
      <w:r w:rsidR="007E7F89" w:rsidRP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 xml:space="preserve">Pulsar 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für</w:t>
      </w:r>
      <w:r w:rsid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>MID-konforme Abrechnung des Dienstwagens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>.</w:t>
      </w:r>
      <w:r w:rsidR="007E7F89" w:rsidRP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5E2152">
        <w:rPr>
          <w:rFonts w:ascii="Arial" w:eastAsia="Calibri" w:hAnsi="Arial" w:cs="Arial"/>
          <w:sz w:val="20"/>
          <w:szCs w:val="20"/>
          <w:lang w:eastAsia="de-DE"/>
        </w:rPr>
        <w:t xml:space="preserve">Exakte Abrechnung der Ladevorgänge. </w:t>
      </w:r>
      <w:r w:rsidR="007E7F89">
        <w:rPr>
          <w:rFonts w:ascii="Arial" w:eastAsia="Calibri" w:hAnsi="Arial" w:cs="Arial"/>
          <w:sz w:val="20"/>
          <w:szCs w:val="20"/>
          <w:lang w:eastAsia="de-DE"/>
        </w:rPr>
        <w:t>Kompatibel mit</w:t>
      </w:r>
      <w:r w:rsidR="007E7F89" w:rsidRP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>myWallbox</w:t>
      </w:r>
      <w:r w:rsidR="007E7F89" w:rsidRPr="007E7F89">
        <w:rPr>
          <w:rFonts w:ascii="Arial" w:eastAsia="Calibri" w:hAnsi="Arial" w:cs="Arial"/>
          <w:sz w:val="20"/>
          <w:szCs w:val="20"/>
          <w:lang w:eastAsia="de-DE"/>
        </w:rPr>
        <w:t xml:space="preserve"> App oder 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>myWallbox Portal</w:t>
      </w:r>
      <w:r w:rsidR="007E7F89"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="005E2152">
        <w:rPr>
          <w:rFonts w:ascii="Arial" w:eastAsia="Calibri" w:hAnsi="Arial" w:cs="Arial"/>
          <w:sz w:val="20"/>
          <w:szCs w:val="20"/>
          <w:lang w:eastAsia="de-DE"/>
        </w:rPr>
        <w:t>Erfassung der Energiemengen und Export aus der App zur einfachen Abrechnung der Stromkosten an den Arbeitgeber.</w:t>
      </w:r>
    </w:p>
    <w:p w14:paraId="4961E19B" w14:textId="77777777" w:rsidR="005E2152" w:rsidRDefault="005E2152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27D3B04C" w14:textId="6AE9A1F5" w:rsidR="001439B0" w:rsidRDefault="001439B0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 xml:space="preserve">Lieferumfang: </w:t>
      </w:r>
      <w:r w:rsidR="00E93089">
        <w:rPr>
          <w:rFonts w:ascii="Arial" w:eastAsia="Calibri" w:hAnsi="Arial" w:cs="Arial"/>
          <w:sz w:val="20"/>
          <w:szCs w:val="20"/>
          <w:lang w:eastAsia="de-DE"/>
        </w:rPr>
        <w:t>MID</w:t>
      </w:r>
      <w:r w:rsidRPr="001439B0">
        <w:rPr>
          <w:rFonts w:ascii="Arial" w:eastAsia="Calibri" w:hAnsi="Arial" w:cs="Arial"/>
          <w:sz w:val="20"/>
          <w:szCs w:val="20"/>
          <w:lang w:eastAsia="de-DE"/>
        </w:rPr>
        <w:t xml:space="preserve"> Meter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 xml:space="preserve"> Pulsar</w:t>
      </w:r>
      <w:r w:rsidRPr="001439B0">
        <w:rPr>
          <w:rFonts w:ascii="Arial" w:eastAsia="Calibri" w:hAnsi="Arial" w:cs="Arial"/>
          <w:sz w:val="20"/>
          <w:szCs w:val="20"/>
          <w:lang w:eastAsia="de-DE"/>
        </w:rPr>
        <w:t>, Kurzanleitung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>, Installationsanleitung</w:t>
      </w:r>
    </w:p>
    <w:p w14:paraId="5766709F" w14:textId="77777777" w:rsidR="007E7F89" w:rsidRPr="00272817" w:rsidRDefault="007E7F89" w:rsidP="00FA160D">
      <w:pPr>
        <w:rPr>
          <w:rFonts w:ascii="Arial" w:hAnsi="Arial" w:cs="Arial"/>
          <w:sz w:val="20"/>
          <w:szCs w:val="20"/>
        </w:rPr>
      </w:pPr>
    </w:p>
    <w:p w14:paraId="693D8470" w14:textId="5118B006" w:rsidR="001A2CA3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Anschlussquerschnitt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1A2CA3"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>Bis 16 mm²</w:t>
      </w:r>
    </w:p>
    <w:p w14:paraId="70413C98" w14:textId="7DE35002" w:rsid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Anlaufstrom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>20</w:t>
      </w:r>
      <w:r w:rsidRPr="00A55D14">
        <w:rPr>
          <w:rFonts w:ascii="Arial" w:hAnsi="Arial" w:cs="Arial"/>
          <w:sz w:val="20"/>
          <w:szCs w:val="20"/>
        </w:rPr>
        <w:t> mA</w:t>
      </w:r>
    </w:p>
    <w:p w14:paraId="57B181FA" w14:textId="6B345A4F" w:rsid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Versorgungsspannung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 xml:space="preserve">208 </w:t>
      </w:r>
      <w:r w:rsidRPr="00A55D14">
        <w:rPr>
          <w:rFonts w:ascii="Arial" w:hAnsi="Arial" w:cs="Arial"/>
          <w:sz w:val="20"/>
          <w:szCs w:val="20"/>
        </w:rPr>
        <w:t>~</w:t>
      </w:r>
      <w:r w:rsidR="00453A3A">
        <w:rPr>
          <w:rFonts w:ascii="Arial" w:hAnsi="Arial" w:cs="Arial"/>
          <w:sz w:val="20"/>
          <w:szCs w:val="20"/>
        </w:rPr>
        <w:t xml:space="preserve"> 400 V AC</w:t>
      </w:r>
      <w:r w:rsidRPr="00A55D14">
        <w:rPr>
          <w:rFonts w:ascii="Arial" w:hAnsi="Arial" w:cs="Arial"/>
          <w:sz w:val="20"/>
          <w:szCs w:val="20"/>
        </w:rPr>
        <w:t xml:space="preserve">, </w:t>
      </w:r>
      <w:r w:rsidR="00453A3A">
        <w:rPr>
          <w:rFonts w:ascii="Arial" w:hAnsi="Arial" w:cs="Arial"/>
          <w:sz w:val="20"/>
          <w:szCs w:val="20"/>
        </w:rPr>
        <w:t xml:space="preserve">VLL </w:t>
      </w:r>
      <w:r w:rsidRPr="00A55D14">
        <w:rPr>
          <w:rFonts w:ascii="Arial" w:hAnsi="Arial" w:cs="Arial"/>
          <w:sz w:val="20"/>
          <w:szCs w:val="20"/>
        </w:rPr>
        <w:t>± </w:t>
      </w:r>
      <w:r w:rsidR="00453A3A">
        <w:rPr>
          <w:rFonts w:ascii="Arial" w:hAnsi="Arial" w:cs="Arial"/>
          <w:sz w:val="20"/>
          <w:szCs w:val="20"/>
        </w:rPr>
        <w:t>2</w:t>
      </w:r>
      <w:r w:rsidRPr="00A55D14">
        <w:rPr>
          <w:rFonts w:ascii="Arial" w:hAnsi="Arial" w:cs="Arial"/>
          <w:sz w:val="20"/>
          <w:szCs w:val="20"/>
        </w:rPr>
        <w:t xml:space="preserve">0 % </w:t>
      </w:r>
    </w:p>
    <w:p w14:paraId="0EEE817D" w14:textId="50041122" w:rsidR="00A55D14" w:rsidRP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Frequenz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A55D14">
        <w:rPr>
          <w:rFonts w:ascii="Arial" w:hAnsi="Arial" w:cs="Arial"/>
          <w:sz w:val="20"/>
          <w:szCs w:val="20"/>
        </w:rPr>
        <w:tab/>
        <w:t>50/60 Hz</w:t>
      </w:r>
    </w:p>
    <w:p w14:paraId="42C67AE4" w14:textId="7DABA12D" w:rsid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Eigenverbrauch Pmax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>≤ 1</w:t>
      </w:r>
      <w:r w:rsidRPr="00A55D14">
        <w:rPr>
          <w:rFonts w:ascii="Arial" w:hAnsi="Arial" w:cs="Arial"/>
          <w:sz w:val="20"/>
          <w:szCs w:val="20"/>
        </w:rPr>
        <w:t> W</w:t>
      </w:r>
    </w:p>
    <w:p w14:paraId="7FCAC5B2" w14:textId="5F8AE8B1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Grenzstrom IN / Phase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6</w:t>
      </w:r>
      <w:r w:rsidR="00453A3A">
        <w:rPr>
          <w:rFonts w:ascii="Arial" w:hAnsi="Arial" w:cs="Arial"/>
          <w:sz w:val="20"/>
          <w:szCs w:val="20"/>
        </w:rPr>
        <w:t>5</w:t>
      </w:r>
      <w:r w:rsidRPr="0070214E">
        <w:rPr>
          <w:rFonts w:ascii="Arial" w:hAnsi="Arial" w:cs="Arial"/>
          <w:sz w:val="20"/>
          <w:szCs w:val="20"/>
        </w:rPr>
        <w:t> A</w:t>
      </w:r>
    </w:p>
    <w:p w14:paraId="3ADEDF97" w14:textId="32B53ED6" w:rsidR="004A4FD4" w:rsidRDefault="0070214E" w:rsidP="004A4FD4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Bemessungsspannung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>400 V AC</w:t>
      </w:r>
      <w:r w:rsidR="00453A3A" w:rsidRPr="00A55D14">
        <w:rPr>
          <w:rFonts w:ascii="Arial" w:hAnsi="Arial" w:cs="Arial"/>
          <w:sz w:val="20"/>
          <w:szCs w:val="20"/>
        </w:rPr>
        <w:t xml:space="preserve">, </w:t>
      </w:r>
      <w:r w:rsidR="00453A3A">
        <w:rPr>
          <w:rFonts w:ascii="Arial" w:hAnsi="Arial" w:cs="Arial"/>
          <w:sz w:val="20"/>
          <w:szCs w:val="20"/>
        </w:rPr>
        <w:t xml:space="preserve">VLL </w:t>
      </w:r>
      <w:r w:rsidR="00453A3A" w:rsidRPr="00A55D14">
        <w:rPr>
          <w:rFonts w:ascii="Arial" w:hAnsi="Arial" w:cs="Arial"/>
          <w:sz w:val="20"/>
          <w:szCs w:val="20"/>
        </w:rPr>
        <w:t>± </w:t>
      </w:r>
      <w:r w:rsidR="00453A3A">
        <w:rPr>
          <w:rFonts w:ascii="Arial" w:hAnsi="Arial" w:cs="Arial"/>
          <w:sz w:val="20"/>
          <w:szCs w:val="20"/>
        </w:rPr>
        <w:t>2</w:t>
      </w:r>
      <w:r w:rsidR="00453A3A" w:rsidRPr="00A55D14">
        <w:rPr>
          <w:rFonts w:ascii="Arial" w:hAnsi="Arial" w:cs="Arial"/>
          <w:sz w:val="20"/>
          <w:szCs w:val="20"/>
        </w:rPr>
        <w:t>0 %</w:t>
      </w:r>
    </w:p>
    <w:p w14:paraId="188CA140" w14:textId="3D14B03C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Spannung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0,5 %</w:t>
      </w:r>
    </w:p>
    <w:p w14:paraId="6612E03A" w14:textId="0BC26E78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Strom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ab/>
        <w:t>± 0,5 %</w:t>
      </w:r>
    </w:p>
    <w:p w14:paraId="7D30F1F3" w14:textId="0FFA2DF9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Wirkleistung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1,0 %</w:t>
      </w:r>
    </w:p>
    <w:p w14:paraId="59BEF229" w14:textId="09F4D0C8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Scheinleistung</w:t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1,0 %</w:t>
      </w:r>
    </w:p>
    <w:p w14:paraId="0D5CE48A" w14:textId="40013902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Blindleistung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</w:t>
      </w:r>
      <w:r w:rsidR="0054507E">
        <w:rPr>
          <w:rFonts w:ascii="Arial" w:hAnsi="Arial" w:cs="Arial"/>
          <w:sz w:val="20"/>
          <w:szCs w:val="20"/>
        </w:rPr>
        <w:t>2</w:t>
      </w:r>
      <w:r w:rsidRPr="004A4FD4">
        <w:rPr>
          <w:rFonts w:ascii="Arial" w:hAnsi="Arial" w:cs="Arial"/>
          <w:sz w:val="20"/>
          <w:szCs w:val="20"/>
        </w:rPr>
        <w:t>,0 %</w:t>
      </w:r>
    </w:p>
    <w:p w14:paraId="3FB84D36" w14:textId="1B16427B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Leistungsfaktor</w:t>
      </w:r>
      <w:r w:rsidRPr="004A4FD4">
        <w:rPr>
          <w:rFonts w:ascii="Arial" w:hAnsi="Arial" w:cs="Arial"/>
          <w:sz w:val="20"/>
          <w:szCs w:val="20"/>
        </w:rPr>
        <w:tab/>
        <w:t>± 1,0 %</w:t>
      </w:r>
    </w:p>
    <w:p w14:paraId="1C76EA9C" w14:textId="5387C826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Wirkenergie</w:t>
      </w:r>
      <w:r w:rsidRP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Klasse 1</w:t>
      </w:r>
    </w:p>
    <w:p w14:paraId="1E642F2A" w14:textId="691B3331" w:rsid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Blindenergie</w:t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ab/>
        <w:t xml:space="preserve">Klasse </w:t>
      </w:r>
      <w:r w:rsidR="0054507E">
        <w:rPr>
          <w:rFonts w:ascii="Arial" w:hAnsi="Arial" w:cs="Arial"/>
          <w:sz w:val="20"/>
          <w:szCs w:val="20"/>
        </w:rPr>
        <w:t>2</w:t>
      </w:r>
    </w:p>
    <w:p w14:paraId="00E17766" w14:textId="56B1EB93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Umgebungstemperatur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-</w:t>
      </w:r>
      <w:r w:rsidR="0054507E">
        <w:rPr>
          <w:rFonts w:ascii="Arial" w:hAnsi="Arial" w:cs="Arial"/>
          <w:sz w:val="20"/>
          <w:szCs w:val="20"/>
        </w:rPr>
        <w:t>30</w:t>
      </w:r>
      <w:r w:rsidRPr="0070214E">
        <w:rPr>
          <w:rFonts w:ascii="Arial" w:hAnsi="Arial" w:cs="Arial"/>
          <w:sz w:val="20"/>
          <w:szCs w:val="20"/>
        </w:rPr>
        <w:t xml:space="preserve"> bis </w:t>
      </w:r>
      <w:r w:rsidR="0054507E">
        <w:rPr>
          <w:rFonts w:ascii="Arial" w:hAnsi="Arial" w:cs="Arial"/>
          <w:sz w:val="20"/>
          <w:szCs w:val="20"/>
        </w:rPr>
        <w:t>8</w:t>
      </w:r>
      <w:r w:rsidRPr="0070214E">
        <w:rPr>
          <w:rFonts w:ascii="Arial" w:hAnsi="Arial" w:cs="Arial"/>
          <w:sz w:val="20"/>
          <w:szCs w:val="20"/>
        </w:rPr>
        <w:t>0 °C</w:t>
      </w:r>
      <w:r>
        <w:rPr>
          <w:rFonts w:ascii="Arial" w:hAnsi="Arial" w:cs="Arial"/>
          <w:sz w:val="20"/>
          <w:szCs w:val="20"/>
        </w:rPr>
        <w:t xml:space="preserve"> (</w:t>
      </w:r>
      <w:r w:rsidRPr="0070214E">
        <w:rPr>
          <w:rFonts w:ascii="Arial" w:hAnsi="Arial" w:cs="Arial"/>
          <w:sz w:val="20"/>
          <w:szCs w:val="20"/>
        </w:rPr>
        <w:t>Transport/Lagerung</w:t>
      </w:r>
      <w:r>
        <w:rPr>
          <w:rFonts w:ascii="Arial" w:hAnsi="Arial" w:cs="Arial"/>
          <w:sz w:val="20"/>
          <w:szCs w:val="20"/>
        </w:rPr>
        <w:t xml:space="preserve">), </w:t>
      </w:r>
      <w:r w:rsidRPr="0070214E">
        <w:rPr>
          <w:rFonts w:ascii="Arial" w:hAnsi="Arial" w:cs="Arial"/>
          <w:sz w:val="20"/>
          <w:szCs w:val="20"/>
        </w:rPr>
        <w:t xml:space="preserve">-25 bis </w:t>
      </w:r>
      <w:r w:rsidR="0054507E">
        <w:rPr>
          <w:rFonts w:ascii="Arial" w:hAnsi="Arial" w:cs="Arial"/>
          <w:sz w:val="20"/>
          <w:szCs w:val="20"/>
        </w:rPr>
        <w:t>5</w:t>
      </w:r>
      <w:r w:rsidRPr="0070214E">
        <w:rPr>
          <w:rFonts w:ascii="Arial" w:hAnsi="Arial" w:cs="Arial"/>
          <w:sz w:val="20"/>
          <w:szCs w:val="20"/>
        </w:rPr>
        <w:t>5 °C</w:t>
      </w:r>
      <w:r w:rsidR="0097703A">
        <w:rPr>
          <w:rFonts w:ascii="Arial" w:hAnsi="Arial" w:cs="Arial"/>
          <w:sz w:val="20"/>
          <w:szCs w:val="20"/>
        </w:rPr>
        <w:t xml:space="preserve"> (Betrieb)</w:t>
      </w:r>
    </w:p>
    <w:p w14:paraId="0975BB04" w14:textId="1D93C936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Relative Luftfeuchtigkeit</w:t>
      </w:r>
      <w:r w:rsidRPr="0070214E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0 bis 90 %</w:t>
      </w:r>
    </w:p>
    <w:p w14:paraId="04943D0F" w14:textId="499AEBF7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Schutzklasse</w:t>
      </w:r>
      <w:r w:rsidR="0097703A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II</w:t>
      </w:r>
      <w:r w:rsidR="0054507E">
        <w:rPr>
          <w:rFonts w:ascii="Arial" w:hAnsi="Arial" w:cs="Arial"/>
          <w:sz w:val="20"/>
          <w:szCs w:val="20"/>
        </w:rPr>
        <w:t>I</w:t>
      </w:r>
    </w:p>
    <w:p w14:paraId="3B912140" w14:textId="7557AF0F" w:rsidR="0070214E" w:rsidRPr="00272817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Schutzart</w:t>
      </w:r>
      <w:r w:rsidRPr="0070214E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>IP</w:t>
      </w:r>
      <w:r w:rsidR="0054507E">
        <w:rPr>
          <w:rFonts w:ascii="Arial" w:hAnsi="Arial" w:cs="Arial"/>
          <w:sz w:val="20"/>
          <w:szCs w:val="20"/>
        </w:rPr>
        <w:t>51</w:t>
      </w:r>
    </w:p>
    <w:p w14:paraId="4A620BE3" w14:textId="75615D6F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Bauart</w:t>
      </w:r>
      <w:r w:rsidRPr="004E35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>Hutschienenmodul</w:t>
      </w:r>
    </w:p>
    <w:p w14:paraId="2E6EF056" w14:textId="334A71BF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Befestigungsart</w:t>
      </w:r>
      <w:r w:rsidRPr="004E35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>Hutschiene TH35</w:t>
      </w:r>
    </w:p>
    <w:p w14:paraId="7106EA28" w14:textId="2183CD6B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Material Gehäuse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</w:r>
      <w:r w:rsidR="0054507E" w:rsidRPr="0054507E">
        <w:rPr>
          <w:rFonts w:ascii="Arial" w:hAnsi="Arial" w:cs="Arial"/>
          <w:sz w:val="20"/>
          <w:szCs w:val="20"/>
        </w:rPr>
        <w:t>Polyphenylenoxid, UL 94 V-1</w:t>
      </w:r>
    </w:p>
    <w:p w14:paraId="3151F558" w14:textId="4835A242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Gehäusefarbe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Weiß</w:t>
      </w:r>
    </w:p>
    <w:p w14:paraId="5839ECF9" w14:textId="1D5EE26D" w:rsidR="004E352A" w:rsidRPr="004E352A" w:rsidRDefault="004E352A" w:rsidP="004A4FD4">
      <w:pPr>
        <w:pStyle w:val="NurText"/>
        <w:ind w:left="3540" w:hanging="3540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Schnittstellen</w:t>
      </w:r>
      <w:r w:rsidRPr="004E352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1</w:t>
      </w:r>
      <w:r w:rsidRPr="004E352A">
        <w:rPr>
          <w:rFonts w:ascii="Arial" w:hAnsi="Arial" w:cs="Arial"/>
          <w:sz w:val="20"/>
          <w:szCs w:val="20"/>
        </w:rPr>
        <w:t> × RS485</w:t>
      </w:r>
    </w:p>
    <w:p w14:paraId="4144EA58" w14:textId="3830A1BC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Abmessungen netto (H×B×T)</w:t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91</w:t>
      </w:r>
      <w:r w:rsidRPr="004E352A">
        <w:rPr>
          <w:rFonts w:ascii="Arial" w:hAnsi="Arial" w:cs="Arial"/>
          <w:sz w:val="20"/>
          <w:szCs w:val="20"/>
        </w:rPr>
        <w:t> × </w:t>
      </w:r>
      <w:r w:rsidR="0054507E">
        <w:rPr>
          <w:rFonts w:ascii="Arial" w:hAnsi="Arial" w:cs="Arial"/>
          <w:sz w:val="20"/>
          <w:szCs w:val="20"/>
        </w:rPr>
        <w:t>54</w:t>
      </w:r>
      <w:r w:rsidRPr="004E352A">
        <w:rPr>
          <w:rFonts w:ascii="Arial" w:hAnsi="Arial" w:cs="Arial"/>
          <w:sz w:val="20"/>
          <w:szCs w:val="20"/>
        </w:rPr>
        <w:t> × </w:t>
      </w:r>
      <w:r w:rsidR="0054507E">
        <w:rPr>
          <w:rFonts w:ascii="Arial" w:hAnsi="Arial" w:cs="Arial"/>
          <w:sz w:val="20"/>
          <w:szCs w:val="20"/>
        </w:rPr>
        <w:t>63</w:t>
      </w:r>
      <w:r w:rsidRPr="004E352A">
        <w:rPr>
          <w:rFonts w:ascii="Arial" w:hAnsi="Arial" w:cs="Arial"/>
          <w:sz w:val="20"/>
          <w:szCs w:val="20"/>
        </w:rPr>
        <w:t> mm</w:t>
      </w:r>
    </w:p>
    <w:p w14:paraId="0BDEFC4D" w14:textId="23CD5AA8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Abmessungen brutto (H×B×T)</w:t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65</w:t>
      </w:r>
      <w:r w:rsidRPr="004E352A">
        <w:rPr>
          <w:rFonts w:ascii="Arial" w:hAnsi="Arial" w:cs="Arial"/>
          <w:sz w:val="20"/>
          <w:szCs w:val="20"/>
        </w:rPr>
        <w:t> × </w:t>
      </w:r>
      <w:r w:rsidR="0054507E">
        <w:rPr>
          <w:rFonts w:ascii="Arial" w:hAnsi="Arial" w:cs="Arial"/>
          <w:sz w:val="20"/>
          <w:szCs w:val="20"/>
        </w:rPr>
        <w:t>110</w:t>
      </w:r>
      <w:r w:rsidRPr="004E352A">
        <w:rPr>
          <w:rFonts w:ascii="Arial" w:hAnsi="Arial" w:cs="Arial"/>
          <w:sz w:val="20"/>
          <w:szCs w:val="20"/>
        </w:rPr>
        <w:t> × 1</w:t>
      </w:r>
      <w:r w:rsidR="0054507E">
        <w:rPr>
          <w:rFonts w:ascii="Arial" w:hAnsi="Arial" w:cs="Arial"/>
          <w:sz w:val="20"/>
          <w:szCs w:val="20"/>
        </w:rPr>
        <w:t>66</w:t>
      </w:r>
      <w:r w:rsidRPr="004E352A">
        <w:rPr>
          <w:rFonts w:ascii="Arial" w:hAnsi="Arial" w:cs="Arial"/>
          <w:sz w:val="20"/>
          <w:szCs w:val="20"/>
        </w:rPr>
        <w:t> mm</w:t>
      </w:r>
    </w:p>
    <w:p w14:paraId="0481D0A5" w14:textId="3A57D04D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Gewicht netto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>0,</w:t>
      </w:r>
      <w:r w:rsidR="00327401">
        <w:rPr>
          <w:rFonts w:ascii="Arial" w:hAnsi="Arial" w:cs="Arial"/>
          <w:sz w:val="20"/>
          <w:szCs w:val="20"/>
        </w:rPr>
        <w:t>2</w:t>
      </w:r>
      <w:r w:rsidRPr="004E352A">
        <w:rPr>
          <w:rFonts w:ascii="Arial" w:hAnsi="Arial" w:cs="Arial"/>
          <w:sz w:val="20"/>
          <w:szCs w:val="20"/>
        </w:rPr>
        <w:t> kg</w:t>
      </w:r>
    </w:p>
    <w:p w14:paraId="207276B6" w14:textId="1FF721ED" w:rsid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Gewicht brutto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>0,</w:t>
      </w:r>
      <w:r w:rsidR="0054507E">
        <w:rPr>
          <w:rFonts w:ascii="Arial" w:hAnsi="Arial" w:cs="Arial"/>
          <w:sz w:val="20"/>
          <w:szCs w:val="20"/>
        </w:rPr>
        <w:t>5</w:t>
      </w:r>
      <w:r w:rsidRPr="004E352A">
        <w:rPr>
          <w:rFonts w:ascii="Arial" w:hAnsi="Arial" w:cs="Arial"/>
          <w:sz w:val="20"/>
          <w:szCs w:val="20"/>
        </w:rPr>
        <w:t xml:space="preserve"> kg </w:t>
      </w:r>
    </w:p>
    <w:p w14:paraId="18EAAAAA" w14:textId="267FCB29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ABL</w:t>
      </w:r>
      <w:r w:rsidR="0054507E">
        <w:rPr>
          <w:rFonts w:ascii="Arial" w:hAnsi="Arial" w:cs="Arial"/>
          <w:sz w:val="20"/>
          <w:szCs w:val="20"/>
        </w:rPr>
        <w:t xml:space="preserve"> GmbH</w:t>
      </w:r>
    </w:p>
    <w:p w14:paraId="7E284A22" w14:textId="2ECA41D9" w:rsidR="00212F9E" w:rsidRPr="00272817" w:rsidRDefault="00212F9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E93089">
        <w:rPr>
          <w:rFonts w:ascii="Arial" w:hAnsi="Arial" w:cs="Arial"/>
          <w:sz w:val="20"/>
          <w:szCs w:val="20"/>
        </w:rPr>
        <w:t>MID</w:t>
      </w:r>
      <w:r w:rsidR="00143ECF" w:rsidRPr="00143ECF">
        <w:rPr>
          <w:rFonts w:ascii="Arial" w:hAnsi="Arial" w:cs="Arial"/>
          <w:sz w:val="20"/>
          <w:szCs w:val="20"/>
        </w:rPr>
        <w:t xml:space="preserve"> Meter</w:t>
      </w:r>
      <w:r w:rsidR="0054507E">
        <w:rPr>
          <w:rFonts w:ascii="Arial" w:hAnsi="Arial" w:cs="Arial"/>
          <w:sz w:val="20"/>
          <w:szCs w:val="20"/>
        </w:rPr>
        <w:t xml:space="preserve"> Pulsar</w:t>
      </w:r>
    </w:p>
    <w:p w14:paraId="7DA1F693" w14:textId="6F1B3C2B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51663C" w:rsidRPr="0051663C">
        <w:rPr>
          <w:rFonts w:ascii="Arial" w:hAnsi="Arial" w:cs="Arial"/>
          <w:sz w:val="20"/>
          <w:szCs w:val="20"/>
        </w:rPr>
        <w:t>100000</w:t>
      </w:r>
      <w:r w:rsidR="0054507E">
        <w:rPr>
          <w:rFonts w:ascii="Arial" w:hAnsi="Arial" w:cs="Arial"/>
          <w:sz w:val="20"/>
          <w:szCs w:val="20"/>
        </w:rPr>
        <w:t>4</w:t>
      </w:r>
      <w:r w:rsidR="00E93089">
        <w:rPr>
          <w:rFonts w:ascii="Arial" w:hAnsi="Arial" w:cs="Arial"/>
          <w:sz w:val="20"/>
          <w:szCs w:val="20"/>
        </w:rPr>
        <w:t>95</w:t>
      </w:r>
    </w:p>
    <w:p w14:paraId="583A3B69" w14:textId="362B6F43" w:rsidR="0054507E" w:rsidRDefault="005168CC" w:rsidP="0054507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4A4FD4">
        <w:rPr>
          <w:rFonts w:ascii="Arial" w:hAnsi="Arial" w:cs="Arial"/>
          <w:color w:val="auto"/>
          <w:sz w:val="20"/>
          <w:szCs w:val="20"/>
        </w:rPr>
        <w:tab/>
      </w:r>
      <w:r w:rsidR="00E93089" w:rsidRPr="00E93089">
        <w:rPr>
          <w:rFonts w:ascii="Arial" w:hAnsi="Arial" w:cs="Arial"/>
          <w:color w:val="auto"/>
          <w:sz w:val="20"/>
          <w:szCs w:val="20"/>
        </w:rPr>
        <w:t>8436575278049</w:t>
      </w:r>
    </w:p>
    <w:p w14:paraId="6A5D18C1" w14:textId="6A4AF231" w:rsidR="005168CC" w:rsidRPr="00272817" w:rsidRDefault="005168CC" w:rsidP="0054507E">
      <w:pPr>
        <w:pStyle w:val="Defaul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Stk.</w:t>
      </w:r>
    </w:p>
    <w:p w14:paraId="108B861F" w14:textId="69A05D1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€/Stk.</w:t>
      </w:r>
    </w:p>
    <w:p w14:paraId="53A51D37" w14:textId="48202202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005EAB8A" w14:textId="47D3F28E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="00D63BB1">
        <w:rPr>
          <w:rFonts w:ascii="Arial" w:hAnsi="Arial" w:cs="Arial"/>
          <w:sz w:val="20"/>
          <w:szCs w:val="20"/>
        </w:rPr>
        <w:t>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€/Stk.</w:t>
      </w:r>
    </w:p>
    <w:p w14:paraId="1D5D7FE6" w14:textId="1A01D670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615F" w14:textId="77777777" w:rsidR="00940E89" w:rsidRDefault="00940E89" w:rsidP="00212F9E">
      <w:r>
        <w:separator/>
      </w:r>
    </w:p>
  </w:endnote>
  <w:endnote w:type="continuationSeparator" w:id="0">
    <w:p w14:paraId="138350FD" w14:textId="77777777" w:rsidR="00940E89" w:rsidRDefault="00940E89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F362" w14:textId="77777777" w:rsidR="00940E89" w:rsidRDefault="00940E89" w:rsidP="00212F9E">
      <w:r>
        <w:separator/>
      </w:r>
    </w:p>
  </w:footnote>
  <w:footnote w:type="continuationSeparator" w:id="0">
    <w:p w14:paraId="7D218AD4" w14:textId="77777777" w:rsidR="00940E89" w:rsidRDefault="00940E89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09272C"/>
    <w:rsid w:val="001439B0"/>
    <w:rsid w:val="00143ECF"/>
    <w:rsid w:val="00182CF5"/>
    <w:rsid w:val="001A2CA3"/>
    <w:rsid w:val="001E1C34"/>
    <w:rsid w:val="001F5E64"/>
    <w:rsid w:val="00212F9E"/>
    <w:rsid w:val="00272817"/>
    <w:rsid w:val="003143C8"/>
    <w:rsid w:val="00327401"/>
    <w:rsid w:val="003F38EA"/>
    <w:rsid w:val="00445D21"/>
    <w:rsid w:val="00453A3A"/>
    <w:rsid w:val="004A4FD4"/>
    <w:rsid w:val="004E352A"/>
    <w:rsid w:val="0051663C"/>
    <w:rsid w:val="005168CC"/>
    <w:rsid w:val="0054507E"/>
    <w:rsid w:val="005C1CEE"/>
    <w:rsid w:val="005E2152"/>
    <w:rsid w:val="00642858"/>
    <w:rsid w:val="00694839"/>
    <w:rsid w:val="006D466C"/>
    <w:rsid w:val="006F38D3"/>
    <w:rsid w:val="006F4E3A"/>
    <w:rsid w:val="0070214E"/>
    <w:rsid w:val="0071437E"/>
    <w:rsid w:val="00745AE1"/>
    <w:rsid w:val="00763834"/>
    <w:rsid w:val="00766CCB"/>
    <w:rsid w:val="007964B4"/>
    <w:rsid w:val="007E7F89"/>
    <w:rsid w:val="008979BA"/>
    <w:rsid w:val="00940E89"/>
    <w:rsid w:val="0094133A"/>
    <w:rsid w:val="0097703A"/>
    <w:rsid w:val="00A34495"/>
    <w:rsid w:val="00A55D14"/>
    <w:rsid w:val="00A63351"/>
    <w:rsid w:val="00C23541"/>
    <w:rsid w:val="00CA12D9"/>
    <w:rsid w:val="00CD7993"/>
    <w:rsid w:val="00D63BB1"/>
    <w:rsid w:val="00D96A7F"/>
    <w:rsid w:val="00E144F0"/>
    <w:rsid w:val="00E810E5"/>
    <w:rsid w:val="00E93089"/>
    <w:rsid w:val="00F24576"/>
    <w:rsid w:val="00F5713B"/>
    <w:rsid w:val="00FA160D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Romina May</cp:lastModifiedBy>
  <cp:revision>9</cp:revision>
  <dcterms:created xsi:type="dcterms:W3CDTF">2024-02-29T16:29:00Z</dcterms:created>
  <dcterms:modified xsi:type="dcterms:W3CDTF">2024-03-01T10:38:00Z</dcterms:modified>
</cp:coreProperties>
</file>